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33" w:rsidRPr="001B1027" w:rsidRDefault="00944433" w:rsidP="00944433">
      <w:pPr>
        <w:jc w:val="center"/>
        <w:rPr>
          <w:b/>
          <w:bCs/>
          <w:sz w:val="28"/>
          <w:szCs w:val="24"/>
          <w:lang w:val="en-US"/>
        </w:rPr>
      </w:pPr>
      <w:r w:rsidRPr="001B1027">
        <w:rPr>
          <w:b/>
          <w:bCs/>
          <w:sz w:val="28"/>
          <w:szCs w:val="24"/>
          <w:lang w:val="en-US"/>
        </w:rPr>
        <w:t>Annexure Form</w:t>
      </w:r>
    </w:p>
    <w:p w:rsidR="00944433" w:rsidRDefault="00944433" w:rsidP="00944433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Particulars of Value of Immovable Property</w:t>
      </w:r>
    </w:p>
    <w:p w:rsidR="00944433" w:rsidRDefault="00944433" w:rsidP="00944433">
      <w:pPr>
        <w:rPr>
          <w:sz w:val="22"/>
          <w:szCs w:val="24"/>
          <w:lang w:val="en-US"/>
        </w:rPr>
      </w:pPr>
    </w:p>
    <w:p w:rsidR="00944433" w:rsidRPr="0060208D" w:rsidRDefault="00944433" w:rsidP="00944433">
      <w:pPr>
        <w:rPr>
          <w:rFonts w:ascii="Arial Black" w:hAnsi="Arial Black"/>
          <w:sz w:val="36"/>
          <w:szCs w:val="24"/>
          <w:lang w:val="en-US"/>
        </w:rPr>
      </w:pPr>
      <w:r w:rsidRPr="0060208D">
        <w:rPr>
          <w:rFonts w:ascii="Arial Black" w:hAnsi="Arial Black"/>
          <w:sz w:val="36"/>
          <w:szCs w:val="24"/>
          <w:lang w:val="en-US"/>
        </w:rPr>
        <w:t>In the Court of</w:t>
      </w:r>
    </w:p>
    <w:p w:rsidR="00944433" w:rsidRDefault="00944433" w:rsidP="00944433">
      <w:pPr>
        <w:rPr>
          <w:sz w:val="22"/>
          <w:szCs w:val="24"/>
          <w:lang w:val="en-US"/>
        </w:rPr>
      </w:pPr>
    </w:p>
    <w:p w:rsidR="00944433" w:rsidRDefault="00944433" w:rsidP="00944433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O.S. No.____________________________ of 20_____</w:t>
      </w:r>
    </w:p>
    <w:p w:rsidR="00944433" w:rsidRDefault="00944433" w:rsidP="00944433">
      <w:pPr>
        <w:rPr>
          <w:sz w:val="22"/>
          <w:szCs w:val="24"/>
          <w:lang w:val="en-US"/>
        </w:rPr>
      </w:pPr>
    </w:p>
    <w:p w:rsidR="00944433" w:rsidRDefault="00944433" w:rsidP="00944433">
      <w:pPr>
        <w:rPr>
          <w:sz w:val="22"/>
          <w:szCs w:val="24"/>
          <w:lang w:val="en-US"/>
        </w:rPr>
      </w:pPr>
    </w:p>
    <w:p w:rsidR="00944433" w:rsidRDefault="00944433" w:rsidP="00944433">
      <w:pPr>
        <w:rPr>
          <w:sz w:val="22"/>
          <w:szCs w:val="24"/>
          <w:lang w:val="en-US"/>
        </w:rPr>
      </w:pPr>
    </w:p>
    <w:p w:rsidR="00944433" w:rsidRDefault="00944433" w:rsidP="00944433">
      <w:pPr>
        <w:rPr>
          <w:sz w:val="22"/>
          <w:szCs w:val="24"/>
          <w:lang w:val="en-US"/>
        </w:rPr>
      </w:pPr>
    </w:p>
    <w:p w:rsidR="00944433" w:rsidRDefault="00944433" w:rsidP="00944433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 xml:space="preserve">… Plaintiff </w:t>
      </w:r>
    </w:p>
    <w:p w:rsidR="00944433" w:rsidRDefault="00944433" w:rsidP="00944433">
      <w:pPr>
        <w:tabs>
          <w:tab w:val="right" w:pos="9356"/>
        </w:tabs>
        <w:rPr>
          <w:sz w:val="22"/>
          <w:szCs w:val="24"/>
          <w:lang w:val="en-US"/>
        </w:rPr>
      </w:pPr>
    </w:p>
    <w:p w:rsidR="00944433" w:rsidRDefault="00944433" w:rsidP="00944433">
      <w:pPr>
        <w:tabs>
          <w:tab w:val="right" w:pos="9356"/>
        </w:tabs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Versus</w:t>
      </w:r>
    </w:p>
    <w:p w:rsidR="00944433" w:rsidRDefault="00944433" w:rsidP="00944433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944433" w:rsidRDefault="00944433" w:rsidP="00944433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944433" w:rsidRDefault="00944433" w:rsidP="00944433">
      <w:pPr>
        <w:tabs>
          <w:tab w:val="right" w:pos="9356"/>
        </w:tabs>
        <w:rPr>
          <w:sz w:val="22"/>
          <w:szCs w:val="24"/>
          <w:lang w:val="en-US"/>
        </w:rPr>
      </w:pPr>
    </w:p>
    <w:p w:rsidR="00944433" w:rsidRDefault="00944433" w:rsidP="00944433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>… Defendant</w:t>
      </w:r>
    </w:p>
    <w:p w:rsidR="00944433" w:rsidRDefault="00944433" w:rsidP="00944433">
      <w:pPr>
        <w:tabs>
          <w:tab w:val="right" w:pos="9356"/>
        </w:tabs>
        <w:rPr>
          <w:sz w:val="22"/>
          <w:szCs w:val="24"/>
          <w:lang w:val="en-US"/>
        </w:rPr>
      </w:pPr>
    </w:p>
    <w:p w:rsidR="00944433" w:rsidRPr="000A2FDD" w:rsidRDefault="00944433" w:rsidP="00944433">
      <w:pPr>
        <w:tabs>
          <w:tab w:val="right" w:pos="9356"/>
        </w:tabs>
        <w:jc w:val="center"/>
        <w:rPr>
          <w:rFonts w:ascii="Arial Black" w:hAnsi="Arial Black"/>
          <w:sz w:val="22"/>
          <w:szCs w:val="24"/>
          <w:u w:val="single"/>
          <w:lang w:val="en-US"/>
        </w:rPr>
      </w:pPr>
      <w:r w:rsidRPr="000A2FDD">
        <w:rPr>
          <w:rFonts w:ascii="Arial Black" w:hAnsi="Arial Black"/>
          <w:sz w:val="22"/>
          <w:szCs w:val="24"/>
          <w:u w:val="single"/>
          <w:lang w:val="en-US"/>
        </w:rPr>
        <w:t>Valuation of immovable property</w:t>
      </w:r>
    </w:p>
    <w:p w:rsidR="00944433" w:rsidRDefault="00944433" w:rsidP="00944433">
      <w:pPr>
        <w:tabs>
          <w:tab w:val="right" w:pos="9356"/>
        </w:tabs>
        <w:jc w:val="center"/>
        <w:rPr>
          <w:rFonts w:ascii="Arial Black" w:hAnsi="Arial Black"/>
          <w:sz w:val="22"/>
          <w:szCs w:val="24"/>
          <w:u w:val="single"/>
          <w:lang w:val="en-US"/>
        </w:rPr>
      </w:pPr>
      <w:r w:rsidRPr="000A2FDD">
        <w:rPr>
          <w:rFonts w:ascii="Arial Black" w:hAnsi="Arial Black"/>
          <w:sz w:val="22"/>
          <w:szCs w:val="24"/>
          <w:u w:val="single"/>
          <w:lang w:val="en-US"/>
        </w:rPr>
        <w:t>For the purpose of Court Fees and Suits Valuation Act</w:t>
      </w:r>
    </w:p>
    <w:p w:rsidR="00944433" w:rsidRPr="000A2FDD" w:rsidRDefault="00944433" w:rsidP="00944433">
      <w:pPr>
        <w:tabs>
          <w:tab w:val="right" w:pos="9356"/>
        </w:tabs>
        <w:jc w:val="center"/>
        <w:rPr>
          <w:rFonts w:ascii="Arial Black" w:hAnsi="Arial Black"/>
          <w:sz w:val="22"/>
          <w:szCs w:val="24"/>
          <w:u w:val="single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914"/>
        <w:gridCol w:w="1914"/>
        <w:gridCol w:w="1916"/>
        <w:gridCol w:w="1916"/>
        <w:gridCol w:w="1916"/>
      </w:tblGrid>
      <w:tr w:rsidR="00944433" w:rsidTr="00A5553C">
        <w:tc>
          <w:tcPr>
            <w:tcW w:w="1915" w:type="dxa"/>
          </w:tcPr>
          <w:p w:rsidR="00944433" w:rsidRDefault="0094443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Section and Sub-section of the Act</w:t>
            </w:r>
          </w:p>
        </w:tc>
        <w:tc>
          <w:tcPr>
            <w:tcW w:w="1915" w:type="dxa"/>
          </w:tcPr>
          <w:p w:rsidR="00944433" w:rsidRDefault="0094443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Nature of Suit</w:t>
            </w:r>
          </w:p>
        </w:tc>
        <w:tc>
          <w:tcPr>
            <w:tcW w:w="1916" w:type="dxa"/>
          </w:tcPr>
          <w:p w:rsidR="00944433" w:rsidRDefault="0094443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Annual revenue or rent payable</w:t>
            </w:r>
          </w:p>
        </w:tc>
        <w:tc>
          <w:tcPr>
            <w:tcW w:w="1916" w:type="dxa"/>
          </w:tcPr>
          <w:p w:rsidR="00944433" w:rsidRDefault="0094443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Market value</w:t>
            </w:r>
          </w:p>
        </w:tc>
        <w:tc>
          <w:tcPr>
            <w:tcW w:w="1916" w:type="dxa"/>
          </w:tcPr>
          <w:p w:rsidR="00944433" w:rsidRDefault="0094443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Value for purposes of Court fees</w:t>
            </w:r>
          </w:p>
        </w:tc>
      </w:tr>
      <w:tr w:rsidR="00944433" w:rsidTr="00A5553C">
        <w:tc>
          <w:tcPr>
            <w:tcW w:w="1915" w:type="dxa"/>
          </w:tcPr>
          <w:p w:rsidR="00944433" w:rsidRDefault="0094443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(1)</w:t>
            </w:r>
          </w:p>
        </w:tc>
        <w:tc>
          <w:tcPr>
            <w:tcW w:w="1915" w:type="dxa"/>
          </w:tcPr>
          <w:p w:rsidR="00944433" w:rsidRDefault="0094443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(2)</w:t>
            </w:r>
          </w:p>
        </w:tc>
        <w:tc>
          <w:tcPr>
            <w:tcW w:w="1916" w:type="dxa"/>
          </w:tcPr>
          <w:p w:rsidR="00944433" w:rsidRDefault="0094443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(3)</w:t>
            </w:r>
          </w:p>
        </w:tc>
        <w:tc>
          <w:tcPr>
            <w:tcW w:w="1916" w:type="dxa"/>
          </w:tcPr>
          <w:p w:rsidR="00944433" w:rsidRDefault="0094443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(4)</w:t>
            </w:r>
          </w:p>
        </w:tc>
        <w:tc>
          <w:tcPr>
            <w:tcW w:w="1916" w:type="dxa"/>
          </w:tcPr>
          <w:p w:rsidR="00944433" w:rsidRDefault="0094443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(5)</w:t>
            </w:r>
          </w:p>
        </w:tc>
      </w:tr>
      <w:tr w:rsidR="00944433" w:rsidTr="00A5553C">
        <w:tc>
          <w:tcPr>
            <w:tcW w:w="1915" w:type="dxa"/>
          </w:tcPr>
          <w:p w:rsidR="00944433" w:rsidRDefault="00944433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944433" w:rsidRDefault="00944433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944433" w:rsidRDefault="00944433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944433" w:rsidRDefault="00944433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944433" w:rsidRDefault="00944433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</w:tc>
        <w:tc>
          <w:tcPr>
            <w:tcW w:w="1916" w:type="dxa"/>
          </w:tcPr>
          <w:p w:rsidR="00944433" w:rsidRDefault="00944433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</w:tc>
        <w:tc>
          <w:tcPr>
            <w:tcW w:w="1916" w:type="dxa"/>
          </w:tcPr>
          <w:p w:rsidR="00944433" w:rsidRDefault="00944433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</w:tc>
        <w:tc>
          <w:tcPr>
            <w:tcW w:w="1916" w:type="dxa"/>
          </w:tcPr>
          <w:p w:rsidR="00944433" w:rsidRDefault="00944433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</w:tc>
      </w:tr>
    </w:tbl>
    <w:p w:rsidR="00944433" w:rsidRDefault="00944433" w:rsidP="00944433">
      <w:pPr>
        <w:tabs>
          <w:tab w:val="right" w:pos="9356"/>
        </w:tabs>
        <w:rPr>
          <w:sz w:val="22"/>
          <w:szCs w:val="24"/>
          <w:lang w:val="en-US"/>
        </w:rPr>
      </w:pPr>
    </w:p>
    <w:p w:rsidR="00944433" w:rsidRDefault="00944433" w:rsidP="00944433">
      <w:pPr>
        <w:tabs>
          <w:tab w:val="right" w:pos="9356"/>
        </w:tabs>
        <w:rPr>
          <w:sz w:val="22"/>
          <w:szCs w:val="24"/>
          <w:lang w:val="en-US"/>
        </w:rPr>
      </w:pPr>
    </w:p>
    <w:p w:rsidR="00944433" w:rsidRDefault="00944433" w:rsidP="00944433">
      <w:pPr>
        <w:tabs>
          <w:tab w:val="right" w:pos="9356"/>
        </w:tabs>
        <w:rPr>
          <w:sz w:val="22"/>
          <w:szCs w:val="24"/>
          <w:lang w:val="en-US"/>
        </w:rPr>
      </w:pPr>
    </w:p>
    <w:p w:rsidR="00944433" w:rsidRDefault="00944433" w:rsidP="00944433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Counsel for Plaintiff</w:t>
      </w:r>
      <w:r>
        <w:rPr>
          <w:sz w:val="22"/>
          <w:szCs w:val="24"/>
          <w:lang w:val="en-US"/>
        </w:rPr>
        <w:tab/>
        <w:t>Plaintiff</w:t>
      </w:r>
    </w:p>
    <w:p w:rsidR="00944433" w:rsidRDefault="00944433" w:rsidP="00944433">
      <w:pPr>
        <w:tabs>
          <w:tab w:val="right" w:pos="9356"/>
        </w:tabs>
        <w:rPr>
          <w:sz w:val="22"/>
          <w:szCs w:val="24"/>
          <w:lang w:val="en-US"/>
        </w:rPr>
      </w:pPr>
    </w:p>
    <w:p w:rsidR="00944433" w:rsidRPr="00076A94" w:rsidRDefault="00944433" w:rsidP="00944433">
      <w:pPr>
        <w:tabs>
          <w:tab w:val="right" w:pos="9356"/>
        </w:tabs>
        <w:rPr>
          <w:szCs w:val="24"/>
          <w:u w:val="single"/>
          <w:lang w:val="en-US"/>
        </w:rPr>
      </w:pPr>
      <w:r w:rsidRPr="00076A94">
        <w:rPr>
          <w:szCs w:val="24"/>
          <w:u w:val="single"/>
          <w:lang w:val="en-US"/>
        </w:rPr>
        <w:t>INSTRUCTIONS:</w:t>
      </w:r>
    </w:p>
    <w:p w:rsidR="00944433" w:rsidRPr="00076A94" w:rsidRDefault="00944433" w:rsidP="00944433">
      <w:pPr>
        <w:rPr>
          <w:szCs w:val="24"/>
          <w:lang w:val="en-US"/>
        </w:rPr>
      </w:pPr>
    </w:p>
    <w:p w:rsidR="00944433" w:rsidRPr="00076A94" w:rsidRDefault="00944433" w:rsidP="00944433">
      <w:pPr>
        <w:pStyle w:val="ListParagraph"/>
        <w:numPr>
          <w:ilvl w:val="0"/>
          <w:numId w:val="1"/>
        </w:numPr>
        <w:jc w:val="both"/>
        <w:rPr>
          <w:szCs w:val="24"/>
          <w:lang w:val="en-US"/>
        </w:rPr>
      </w:pPr>
      <w:r w:rsidRPr="00076A94">
        <w:rPr>
          <w:szCs w:val="24"/>
          <w:lang w:val="en-US"/>
        </w:rPr>
        <w:t>In the case of lands, the market value of which is to be fixed under section 7(2) of the Act, the following particulars should be furnished:</w:t>
      </w:r>
    </w:p>
    <w:p w:rsidR="00944433" w:rsidRPr="00076A94" w:rsidRDefault="00944433" w:rsidP="00944433">
      <w:pPr>
        <w:pStyle w:val="ListParagraph"/>
        <w:numPr>
          <w:ilvl w:val="0"/>
          <w:numId w:val="2"/>
        </w:numPr>
        <w:jc w:val="both"/>
        <w:rPr>
          <w:szCs w:val="24"/>
          <w:lang w:val="en-US"/>
        </w:rPr>
      </w:pPr>
      <w:r w:rsidRPr="00076A94">
        <w:rPr>
          <w:szCs w:val="24"/>
          <w:lang w:val="en-US"/>
        </w:rPr>
        <w:t xml:space="preserve">In the case of lands coming within the scope of section 7(2) (a) to (c) and (f) of the Act, the annual survey assessment revenue or rent payable for </w:t>
      </w:r>
      <w:proofErr w:type="spellStart"/>
      <w:proofErr w:type="gramStart"/>
      <w:r w:rsidRPr="00076A94">
        <w:rPr>
          <w:szCs w:val="24"/>
          <w:lang w:val="en-US"/>
        </w:rPr>
        <w:t>th</w:t>
      </w:r>
      <w:proofErr w:type="spellEnd"/>
      <w:proofErr w:type="gramEnd"/>
      <w:r w:rsidRPr="00076A94">
        <w:rPr>
          <w:szCs w:val="24"/>
          <w:lang w:val="en-US"/>
        </w:rPr>
        <w:t xml:space="preserve"> elands should be given.</w:t>
      </w:r>
    </w:p>
    <w:p w:rsidR="00944433" w:rsidRPr="00076A94" w:rsidRDefault="00944433" w:rsidP="00944433">
      <w:pPr>
        <w:pStyle w:val="ListParagraph"/>
        <w:numPr>
          <w:ilvl w:val="0"/>
          <w:numId w:val="2"/>
        </w:numPr>
        <w:jc w:val="both"/>
        <w:rPr>
          <w:szCs w:val="24"/>
          <w:lang w:val="en-US"/>
        </w:rPr>
      </w:pPr>
      <w:r w:rsidRPr="00076A94">
        <w:rPr>
          <w:szCs w:val="24"/>
          <w:lang w:val="en-US"/>
        </w:rPr>
        <w:t>In the case of lands which are “Estates” within the meaning of section 7(2</w:t>
      </w:r>
      <w:proofErr w:type="gramStart"/>
      <w:r w:rsidRPr="00076A94">
        <w:rPr>
          <w:szCs w:val="24"/>
          <w:lang w:val="en-US"/>
        </w:rPr>
        <w:t>)(</w:t>
      </w:r>
      <w:proofErr w:type="gramEnd"/>
      <w:r w:rsidRPr="00076A94">
        <w:rPr>
          <w:szCs w:val="24"/>
          <w:lang w:val="en-US"/>
        </w:rPr>
        <w:t xml:space="preserve">d) of the Act, “the </w:t>
      </w:r>
      <w:proofErr w:type="spellStart"/>
      <w:r w:rsidRPr="00076A94">
        <w:rPr>
          <w:szCs w:val="24"/>
          <w:lang w:val="en-US"/>
        </w:rPr>
        <w:t>peishkush</w:t>
      </w:r>
      <w:proofErr w:type="spellEnd"/>
      <w:r w:rsidRPr="00076A94">
        <w:rPr>
          <w:szCs w:val="24"/>
          <w:lang w:val="en-US"/>
        </w:rPr>
        <w:t xml:space="preserve">” recorded in the Collector’s Registers or if no </w:t>
      </w:r>
      <w:proofErr w:type="spellStart"/>
      <w:r w:rsidRPr="00076A94">
        <w:rPr>
          <w:szCs w:val="24"/>
          <w:lang w:val="en-US"/>
        </w:rPr>
        <w:t>peishkush</w:t>
      </w:r>
      <w:proofErr w:type="spellEnd"/>
      <w:r w:rsidRPr="00076A94">
        <w:rPr>
          <w:szCs w:val="24"/>
          <w:lang w:val="en-US"/>
        </w:rPr>
        <w:t xml:space="preserve"> is recorded, the annual </w:t>
      </w:r>
      <w:proofErr w:type="spellStart"/>
      <w:r w:rsidRPr="00076A94">
        <w:rPr>
          <w:szCs w:val="24"/>
          <w:lang w:val="en-US"/>
        </w:rPr>
        <w:t>melwaram</w:t>
      </w:r>
      <w:proofErr w:type="spellEnd"/>
      <w:r w:rsidRPr="00076A94">
        <w:rPr>
          <w:szCs w:val="24"/>
          <w:lang w:val="en-US"/>
        </w:rPr>
        <w:t xml:space="preserve"> realizable from the Estates should be furnished.</w:t>
      </w:r>
    </w:p>
    <w:p w:rsidR="00944433" w:rsidRPr="00076A94" w:rsidRDefault="00944433" w:rsidP="00944433">
      <w:pPr>
        <w:pStyle w:val="ListParagraph"/>
        <w:numPr>
          <w:ilvl w:val="0"/>
          <w:numId w:val="2"/>
        </w:numPr>
        <w:jc w:val="both"/>
        <w:rPr>
          <w:szCs w:val="24"/>
          <w:lang w:val="en-US"/>
        </w:rPr>
      </w:pPr>
      <w:r w:rsidRPr="00076A94">
        <w:rPr>
          <w:szCs w:val="24"/>
          <w:lang w:val="en-US"/>
        </w:rPr>
        <w:t xml:space="preserve">In the case of “Minor </w:t>
      </w:r>
      <w:proofErr w:type="spellStart"/>
      <w:r w:rsidRPr="00076A94">
        <w:rPr>
          <w:szCs w:val="24"/>
          <w:lang w:val="en-US"/>
        </w:rPr>
        <w:t>Inam</w:t>
      </w:r>
      <w:proofErr w:type="spellEnd"/>
      <w:r w:rsidRPr="00076A94">
        <w:rPr>
          <w:szCs w:val="24"/>
          <w:lang w:val="en-US"/>
        </w:rPr>
        <w:t xml:space="preserve"> Lands” the assessment as noted in the village ‘B’ Register should be furnished.</w:t>
      </w:r>
    </w:p>
    <w:p w:rsidR="00944433" w:rsidRPr="00076A94" w:rsidRDefault="00944433" w:rsidP="00944433">
      <w:pPr>
        <w:pStyle w:val="ListParagraph"/>
        <w:ind w:left="1800"/>
        <w:jc w:val="both"/>
        <w:rPr>
          <w:szCs w:val="24"/>
          <w:lang w:val="en-US"/>
        </w:rPr>
      </w:pPr>
    </w:p>
    <w:p w:rsidR="00944433" w:rsidRPr="00076A94" w:rsidRDefault="00944433" w:rsidP="00944433">
      <w:pPr>
        <w:pStyle w:val="ListParagraph"/>
        <w:numPr>
          <w:ilvl w:val="0"/>
          <w:numId w:val="1"/>
        </w:numPr>
        <w:jc w:val="both"/>
        <w:rPr>
          <w:szCs w:val="24"/>
          <w:lang w:val="en-US"/>
        </w:rPr>
      </w:pPr>
      <w:r w:rsidRPr="00076A94">
        <w:rPr>
          <w:szCs w:val="24"/>
          <w:lang w:val="en-US"/>
        </w:rPr>
        <w:t>In the case of immovable properties not covered by instruction I above, the following particulars should be furnished:</w:t>
      </w:r>
    </w:p>
    <w:p w:rsidR="00944433" w:rsidRPr="00076A94" w:rsidRDefault="00944433" w:rsidP="00944433">
      <w:pPr>
        <w:pStyle w:val="ListParagraph"/>
        <w:numPr>
          <w:ilvl w:val="0"/>
          <w:numId w:val="3"/>
        </w:numPr>
        <w:jc w:val="both"/>
        <w:rPr>
          <w:szCs w:val="24"/>
          <w:lang w:val="en-US"/>
        </w:rPr>
      </w:pPr>
      <w:r w:rsidRPr="00076A94">
        <w:rPr>
          <w:szCs w:val="24"/>
          <w:lang w:val="en-US"/>
        </w:rPr>
        <w:t>In the case of lands other than building sites, buildings, and gardens:</w:t>
      </w:r>
    </w:p>
    <w:p w:rsidR="00944433" w:rsidRPr="00076A94" w:rsidRDefault="00944433" w:rsidP="00944433">
      <w:pPr>
        <w:pStyle w:val="ListParagraph"/>
        <w:numPr>
          <w:ilvl w:val="0"/>
          <w:numId w:val="4"/>
        </w:numPr>
        <w:jc w:val="both"/>
        <w:rPr>
          <w:szCs w:val="24"/>
          <w:lang w:val="en-US"/>
        </w:rPr>
      </w:pPr>
      <w:r w:rsidRPr="00076A94">
        <w:rPr>
          <w:szCs w:val="24"/>
          <w:lang w:val="en-US"/>
        </w:rPr>
        <w:t>the market value as estimated by the plaintiff with details as to how it is calculated; and</w:t>
      </w:r>
    </w:p>
    <w:p w:rsidR="00944433" w:rsidRPr="00076A94" w:rsidRDefault="00944433" w:rsidP="00944433">
      <w:pPr>
        <w:pStyle w:val="ListParagraph"/>
        <w:numPr>
          <w:ilvl w:val="0"/>
          <w:numId w:val="4"/>
        </w:numPr>
        <w:jc w:val="both"/>
        <w:rPr>
          <w:szCs w:val="24"/>
          <w:lang w:val="en-US"/>
        </w:rPr>
      </w:pPr>
      <w:proofErr w:type="gramStart"/>
      <w:r w:rsidRPr="00076A94">
        <w:rPr>
          <w:szCs w:val="24"/>
          <w:lang w:val="en-US"/>
        </w:rPr>
        <w:t>the</w:t>
      </w:r>
      <w:proofErr w:type="gramEnd"/>
      <w:r w:rsidRPr="00076A94">
        <w:rPr>
          <w:szCs w:val="24"/>
          <w:lang w:val="en-US"/>
        </w:rPr>
        <w:t xml:space="preserve"> annual net profits realized or realizable from the lands for the three years </w:t>
      </w:r>
      <w:proofErr w:type="spellStart"/>
      <w:r w:rsidRPr="00076A94">
        <w:rPr>
          <w:szCs w:val="24"/>
          <w:lang w:val="en-US"/>
        </w:rPr>
        <w:t>proceeding</w:t>
      </w:r>
      <w:proofErr w:type="spellEnd"/>
      <w:r w:rsidRPr="00076A94">
        <w:rPr>
          <w:szCs w:val="24"/>
          <w:lang w:val="en-US"/>
        </w:rPr>
        <w:t xml:space="preserve"> the date of the plant.</w:t>
      </w:r>
    </w:p>
    <w:p w:rsidR="00944433" w:rsidRPr="00076A94" w:rsidRDefault="00944433" w:rsidP="00944433">
      <w:pPr>
        <w:pStyle w:val="ListParagraph"/>
        <w:numPr>
          <w:ilvl w:val="0"/>
          <w:numId w:val="3"/>
        </w:numPr>
        <w:jc w:val="both"/>
        <w:rPr>
          <w:szCs w:val="24"/>
          <w:lang w:val="en-US"/>
        </w:rPr>
      </w:pPr>
      <w:r w:rsidRPr="00076A94">
        <w:rPr>
          <w:szCs w:val="24"/>
          <w:lang w:val="en-US"/>
        </w:rPr>
        <w:t>In the case of building sites, building, gardens, etc:</w:t>
      </w:r>
    </w:p>
    <w:p w:rsidR="00944433" w:rsidRPr="00076A94" w:rsidRDefault="00944433" w:rsidP="00944433">
      <w:pPr>
        <w:pStyle w:val="ListParagraph"/>
        <w:numPr>
          <w:ilvl w:val="0"/>
          <w:numId w:val="5"/>
        </w:numPr>
        <w:jc w:val="both"/>
        <w:rPr>
          <w:szCs w:val="24"/>
          <w:lang w:val="en-US"/>
        </w:rPr>
      </w:pPr>
      <w:r w:rsidRPr="00076A94">
        <w:rPr>
          <w:szCs w:val="24"/>
          <w:lang w:val="en-US"/>
        </w:rPr>
        <w:t>the market value as estimated by the plaintiff with details as to how it is calculated; and</w:t>
      </w:r>
    </w:p>
    <w:p w:rsidR="00944433" w:rsidRPr="00076A94" w:rsidRDefault="00944433" w:rsidP="00944433">
      <w:pPr>
        <w:pStyle w:val="ListParagraph"/>
        <w:numPr>
          <w:ilvl w:val="0"/>
          <w:numId w:val="5"/>
        </w:numPr>
        <w:jc w:val="both"/>
        <w:rPr>
          <w:szCs w:val="24"/>
          <w:lang w:val="en-US"/>
        </w:rPr>
      </w:pPr>
      <w:proofErr w:type="gramStart"/>
      <w:r w:rsidRPr="00076A94">
        <w:rPr>
          <w:szCs w:val="24"/>
          <w:lang w:val="en-US"/>
        </w:rPr>
        <w:t>the</w:t>
      </w:r>
      <w:proofErr w:type="gramEnd"/>
      <w:r w:rsidRPr="00076A94">
        <w:rPr>
          <w:szCs w:val="24"/>
          <w:lang w:val="en-US"/>
        </w:rPr>
        <w:t xml:space="preserve"> annual rental value of the property as entered in the register of the Municipality or the </w:t>
      </w:r>
      <w:proofErr w:type="spellStart"/>
      <w:r w:rsidRPr="00076A94">
        <w:rPr>
          <w:szCs w:val="24"/>
          <w:lang w:val="en-US"/>
        </w:rPr>
        <w:t>Panchayat</w:t>
      </w:r>
      <w:proofErr w:type="spellEnd"/>
      <w:r w:rsidRPr="00076A94">
        <w:rPr>
          <w:szCs w:val="24"/>
          <w:lang w:val="en-US"/>
        </w:rPr>
        <w:t>, if any, within whose jurisdiction the property is situate.</w:t>
      </w:r>
    </w:p>
    <w:p w:rsidR="00944433" w:rsidRPr="00076A94" w:rsidRDefault="00944433" w:rsidP="00944433">
      <w:pPr>
        <w:pStyle w:val="ListParagraph"/>
        <w:ind w:left="2160"/>
        <w:jc w:val="both"/>
        <w:rPr>
          <w:szCs w:val="24"/>
          <w:lang w:val="en-US"/>
        </w:rPr>
      </w:pPr>
    </w:p>
    <w:p w:rsidR="00944433" w:rsidRPr="00076A94" w:rsidRDefault="00944433" w:rsidP="00944433">
      <w:pPr>
        <w:pStyle w:val="ListParagraph"/>
        <w:numPr>
          <w:ilvl w:val="0"/>
          <w:numId w:val="1"/>
        </w:numPr>
        <w:jc w:val="both"/>
        <w:rPr>
          <w:szCs w:val="24"/>
          <w:lang w:val="en-US"/>
        </w:rPr>
      </w:pPr>
      <w:r w:rsidRPr="00076A94">
        <w:rPr>
          <w:szCs w:val="24"/>
          <w:lang w:val="en-US"/>
        </w:rPr>
        <w:t>In addition to the particulars required by instructions I and II above, the plaintiff may also furnish such additional information which he considers material for his own valuation.</w:t>
      </w:r>
    </w:p>
    <w:p w:rsidR="00D442FF" w:rsidRDefault="00D442FF"/>
    <w:sectPr w:rsidR="00D442FF" w:rsidSect="00C47151">
      <w:pgSz w:w="12240" w:h="20160" w:code="5"/>
      <w:pgMar w:top="1440" w:right="1440" w:bottom="1987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2777"/>
    <w:multiLevelType w:val="hybridMultilevel"/>
    <w:tmpl w:val="79CC2480"/>
    <w:lvl w:ilvl="0" w:tplc="A198F13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F16F8C"/>
    <w:multiLevelType w:val="hybridMultilevel"/>
    <w:tmpl w:val="B5028A24"/>
    <w:lvl w:ilvl="0" w:tplc="8AE8578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E40696"/>
    <w:multiLevelType w:val="hybridMultilevel"/>
    <w:tmpl w:val="0E18FD76"/>
    <w:lvl w:ilvl="0" w:tplc="67DE316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317F30"/>
    <w:multiLevelType w:val="hybridMultilevel"/>
    <w:tmpl w:val="1BD4D66C"/>
    <w:lvl w:ilvl="0" w:tplc="B1AEEB6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03B479E"/>
    <w:multiLevelType w:val="hybridMultilevel"/>
    <w:tmpl w:val="70A0378C"/>
    <w:lvl w:ilvl="0" w:tplc="8D80D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8E5554"/>
    <w:rsid w:val="0017050C"/>
    <w:rsid w:val="00251A9A"/>
    <w:rsid w:val="008E5554"/>
    <w:rsid w:val="00944433"/>
    <w:rsid w:val="00C47151"/>
    <w:rsid w:val="00D4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4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4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2016-12-03T09:19:00Z</dcterms:created>
  <dcterms:modified xsi:type="dcterms:W3CDTF">2016-12-03T09:20:00Z</dcterms:modified>
</cp:coreProperties>
</file>